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3FD49BFF" w:rsidR="00DC2F53" w:rsidRPr="00D25301" w:rsidRDefault="00A605D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D25301">
        <w:rPr>
          <w:rFonts w:ascii="宋体" w:eastAsia="宋体" w:hAnsi="宋体" w:cs="Times New Roman" w:hint="eastAsia"/>
          <w:sz w:val="24"/>
          <w:szCs w:val="24"/>
        </w:rPr>
        <w:t>儿童</w:t>
      </w:r>
      <w:r w:rsidR="00AD191B">
        <w:rPr>
          <w:rFonts w:ascii="宋体" w:eastAsia="宋体" w:hAnsi="宋体" w:cs="Times New Roman" w:hint="eastAsia"/>
          <w:sz w:val="24"/>
          <w:szCs w:val="24"/>
        </w:rPr>
        <w:t>丰盛</w:t>
      </w:r>
      <w:r w:rsidRPr="00D25301">
        <w:rPr>
          <w:rFonts w:ascii="宋体" w:eastAsia="宋体" w:hAnsi="宋体" w:cs="Times New Roman" w:hint="eastAsia"/>
          <w:sz w:val="24"/>
          <w:szCs w:val="24"/>
        </w:rPr>
        <w:t>量表</w:t>
      </w:r>
      <w:r w:rsidR="0042535C" w:rsidRPr="00D25301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D25301">
        <w:rPr>
          <w:rFonts w:ascii="Times New Roman" w:eastAsia="宋体" w:hAnsi="Times New Roman" w:cs="Times New Roman"/>
          <w:color w:val="000000"/>
          <w:sz w:val="24"/>
          <w:szCs w:val="24"/>
        </w:rPr>
        <w:t>Child Flourishing Scale</w:t>
      </w:r>
      <w:r w:rsidR="0042535C" w:rsidRPr="00D25301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0F5539" w:rsidRPr="00D2530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D25301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D99CEDA" w:rsidR="00DC2F53" w:rsidRPr="00D25301" w:rsidRDefault="005D34C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乐观、竞争力、投入</w:t>
            </w:r>
          </w:p>
        </w:tc>
      </w:tr>
      <w:tr w:rsidR="00DC2F53" w:rsidRPr="00D25301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BD1B499" w:rsidR="00DC2F53" w:rsidRPr="00D25301" w:rsidRDefault="005D34C0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积极关系、情绪稳定性、韧性</w:t>
            </w:r>
          </w:p>
        </w:tc>
      </w:tr>
      <w:tr w:rsidR="00DC2F53" w:rsidRPr="00D25301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2A9A36B4" w:rsidR="00DC2F53" w:rsidRPr="00D25301" w:rsidRDefault="00F235E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35E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家庭及儿童福利服务</w:t>
            </w:r>
          </w:p>
        </w:tc>
      </w:tr>
      <w:tr w:rsidR="00DC2F53" w:rsidRPr="00D25301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770A2952" w:rsidR="00DC2F53" w:rsidRPr="00D25301" w:rsidRDefault="005D34C0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儿童</w:t>
            </w:r>
          </w:p>
        </w:tc>
      </w:tr>
      <w:tr w:rsidR="00DC2F53" w:rsidRPr="00D25301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9734684" w:rsidR="00DC2F53" w:rsidRPr="00D25301" w:rsidRDefault="005D34C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  <w:r w:rsidR="0042535C"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D25301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5907600E" w:rsidR="00DC2F53" w:rsidRPr="00D25301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5D34C0"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62FC7" w:rsidRPr="00D25301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D25301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ECCF8AD" w14:textId="77777777" w:rsidR="00846550" w:rsidRDefault="0084655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Huppert, F. A., &amp; So, T. T. (2013). Flourishing across Europe: Application of a new conceptual framework for defining well-being. </w:t>
            </w:r>
            <w:r w:rsidRPr="00D2530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Social Indicators Research, 110</w:t>
            </w: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837-861. </w:t>
            </w:r>
            <w:hyperlink r:id="rId10" w:history="1">
              <w:r w:rsidRPr="00D2530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https://doi.org/10.1007/s11205-011-9966-7</w:t>
              </w:r>
            </w:hyperlink>
          </w:p>
          <w:p w14:paraId="3E956DFD" w14:textId="486D0101" w:rsidR="00342CF6" w:rsidRPr="00D25301" w:rsidRDefault="005D34C0" w:rsidP="0084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Lo, A. P. K., Fok, H. K., &amp; Cheung, T. C. K. Meaningfulness in Kids’ Eyes: Validation of the Child Flourishing Scale in a Hong Kong Chinese Population (unpublished manuscript).</w:t>
            </w:r>
          </w:p>
        </w:tc>
      </w:tr>
    </w:tbl>
    <w:p w14:paraId="53148235" w14:textId="77777777" w:rsidR="00B951EB" w:rsidRPr="00D25301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4E25BD2F" w:rsidR="00DC2F53" w:rsidRPr="00D25301" w:rsidRDefault="00A605DE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25301">
        <w:rPr>
          <w:rFonts w:ascii="宋体" w:eastAsia="宋体" w:hAnsi="宋体" w:cs="Times New Roman" w:hint="eastAsia"/>
          <w:sz w:val="24"/>
          <w:szCs w:val="24"/>
        </w:rPr>
        <w:t>儿童</w:t>
      </w:r>
      <w:r w:rsidR="00AD191B">
        <w:rPr>
          <w:rFonts w:ascii="宋体" w:eastAsia="宋体" w:hAnsi="宋体" w:cs="Times New Roman" w:hint="eastAsia"/>
          <w:sz w:val="24"/>
          <w:szCs w:val="24"/>
        </w:rPr>
        <w:t>丰盛</w:t>
      </w:r>
      <w:r w:rsidRPr="00D25301">
        <w:rPr>
          <w:rFonts w:ascii="宋体" w:eastAsia="宋体" w:hAnsi="宋体" w:cs="Times New Roman" w:hint="eastAsia"/>
          <w:sz w:val="24"/>
          <w:szCs w:val="24"/>
        </w:rPr>
        <w:t>量表</w:t>
      </w:r>
      <w:r w:rsidR="003964A0" w:rsidRPr="00D25301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D2530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5D34C0" w:rsidRPr="00D25301" w14:paraId="1F2CCF00" w14:textId="77777777" w:rsidTr="0074536F">
        <w:tc>
          <w:tcPr>
            <w:tcW w:w="2263" w:type="dxa"/>
            <w:vAlign w:val="center"/>
          </w:tcPr>
          <w:p w14:paraId="4FEDEBA6" w14:textId="3A84E92C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</w:tcPr>
          <w:p w14:paraId="75761518" w14:textId="403F3A80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 w:hint="eastAsia"/>
                <w:sz w:val="24"/>
                <w:szCs w:val="24"/>
              </w:rPr>
              <w:t>非常不同意</w:t>
            </w:r>
          </w:p>
        </w:tc>
        <w:tc>
          <w:tcPr>
            <w:tcW w:w="1333" w:type="dxa"/>
          </w:tcPr>
          <w:p w14:paraId="4E143919" w14:textId="199A6D5A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/>
                <w:sz w:val="24"/>
                <w:szCs w:val="24"/>
              </w:rPr>
              <w:t>不同意</w:t>
            </w:r>
          </w:p>
        </w:tc>
        <w:tc>
          <w:tcPr>
            <w:tcW w:w="1332" w:type="dxa"/>
          </w:tcPr>
          <w:p w14:paraId="78DF45D3" w14:textId="4A0D0503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/>
                <w:sz w:val="24"/>
                <w:szCs w:val="24"/>
              </w:rPr>
              <w:t>既不反</w:t>
            </w:r>
            <w:r w:rsidRPr="00D25301">
              <w:rPr>
                <w:rFonts w:ascii="宋体" w:eastAsia="宋体" w:hAnsi="宋体" w:hint="cs"/>
                <w:sz w:val="24"/>
                <w:szCs w:val="24"/>
              </w:rPr>
              <w:t>对</w:t>
            </w:r>
            <w:r w:rsidRPr="00D25301">
              <w:rPr>
                <w:rFonts w:ascii="宋体" w:eastAsia="宋体" w:hAnsi="宋体" w:hint="eastAsia"/>
                <w:sz w:val="24"/>
                <w:szCs w:val="24"/>
              </w:rPr>
              <w:t>也不同意</w:t>
            </w:r>
          </w:p>
        </w:tc>
        <w:tc>
          <w:tcPr>
            <w:tcW w:w="1333" w:type="dxa"/>
          </w:tcPr>
          <w:p w14:paraId="2886B660" w14:textId="66816AC0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/>
                <w:sz w:val="24"/>
                <w:szCs w:val="24"/>
              </w:rPr>
              <w:t>同意</w:t>
            </w:r>
          </w:p>
        </w:tc>
        <w:tc>
          <w:tcPr>
            <w:tcW w:w="1333" w:type="dxa"/>
          </w:tcPr>
          <w:p w14:paraId="530F4B21" w14:textId="442D6A5B" w:rsidR="005D34C0" w:rsidRPr="00D25301" w:rsidRDefault="005D34C0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/>
                <w:sz w:val="24"/>
                <w:szCs w:val="24"/>
              </w:rPr>
              <w:t>非常同意</w:t>
            </w:r>
          </w:p>
        </w:tc>
      </w:tr>
      <w:tr w:rsidR="00574D84" w:rsidRPr="00D25301" w14:paraId="33A793F2" w14:textId="77777777" w:rsidTr="0074536F">
        <w:tc>
          <w:tcPr>
            <w:tcW w:w="2263" w:type="dxa"/>
          </w:tcPr>
          <w:p w14:paraId="150E025A" w14:textId="1389E037" w:rsidR="00574D84" w:rsidRPr="00D25301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5D34C0"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  <w:r w:rsidRPr="00D2530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D25301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D25301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D25301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D25301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D25301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3A28190" w14:textId="77777777" w:rsidR="00233232" w:rsidRPr="00D25301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D25301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D25301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D25301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D25301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01FC7FAA" w:rsidR="00C06187" w:rsidRPr="00D25301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D25301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D25301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6B13C13" w:rsidR="00C06187" w:rsidRPr="00D25301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D3D49"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D25301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D25301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530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10FB6C9C" w:rsidR="00C06187" w:rsidRPr="00D25301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 w:rsidR="005D3D49" w:rsidRPr="00D2530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6AD1" w14:textId="77777777" w:rsidR="00593C10" w:rsidRDefault="00593C10" w:rsidP="00A56F1F">
      <w:r>
        <w:separator/>
      </w:r>
    </w:p>
  </w:endnote>
  <w:endnote w:type="continuationSeparator" w:id="0">
    <w:p w14:paraId="15FAECDA" w14:textId="77777777" w:rsidR="00593C10" w:rsidRDefault="00593C1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A90" w14:textId="77777777" w:rsidR="00593C10" w:rsidRDefault="00593C10" w:rsidP="00A56F1F">
      <w:r>
        <w:separator/>
      </w:r>
    </w:p>
  </w:footnote>
  <w:footnote w:type="continuationSeparator" w:id="0">
    <w:p w14:paraId="403503E0" w14:textId="77777777" w:rsidR="00593C10" w:rsidRDefault="00593C1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F0386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93C10"/>
    <w:rsid w:val="005A2083"/>
    <w:rsid w:val="005A3043"/>
    <w:rsid w:val="005A7CC2"/>
    <w:rsid w:val="005B0E48"/>
    <w:rsid w:val="005B58FD"/>
    <w:rsid w:val="005C01BA"/>
    <w:rsid w:val="005D27E4"/>
    <w:rsid w:val="005D34C0"/>
    <w:rsid w:val="005D38F0"/>
    <w:rsid w:val="005D3D49"/>
    <w:rsid w:val="005E2627"/>
    <w:rsid w:val="006004E1"/>
    <w:rsid w:val="0060450B"/>
    <w:rsid w:val="00613BF1"/>
    <w:rsid w:val="00616962"/>
    <w:rsid w:val="00620966"/>
    <w:rsid w:val="0062187A"/>
    <w:rsid w:val="006270B8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25E01"/>
    <w:rsid w:val="00736B3F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46550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AD9"/>
    <w:rsid w:val="00A50305"/>
    <w:rsid w:val="00A505B3"/>
    <w:rsid w:val="00A547A1"/>
    <w:rsid w:val="00A56F1F"/>
    <w:rsid w:val="00A6055B"/>
    <w:rsid w:val="00A605DE"/>
    <w:rsid w:val="00A7061A"/>
    <w:rsid w:val="00A720FF"/>
    <w:rsid w:val="00A73658"/>
    <w:rsid w:val="00A834F8"/>
    <w:rsid w:val="00A92B90"/>
    <w:rsid w:val="00AB3C78"/>
    <w:rsid w:val="00AB5BD3"/>
    <w:rsid w:val="00AD0177"/>
    <w:rsid w:val="00AD191B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1426"/>
    <w:rsid w:val="00C91AC5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25301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F1228"/>
    <w:rsid w:val="00EF202B"/>
    <w:rsid w:val="00F05AE3"/>
    <w:rsid w:val="00F05DD7"/>
    <w:rsid w:val="00F05F98"/>
    <w:rsid w:val="00F12970"/>
    <w:rsid w:val="00F235E3"/>
    <w:rsid w:val="00F26045"/>
    <w:rsid w:val="00F41973"/>
    <w:rsid w:val="00F50CBD"/>
    <w:rsid w:val="00F56D3A"/>
    <w:rsid w:val="00F62230"/>
    <w:rsid w:val="00F65776"/>
    <w:rsid w:val="00F74717"/>
    <w:rsid w:val="00F76197"/>
    <w:rsid w:val="00F841E6"/>
    <w:rsid w:val="00FA087E"/>
    <w:rsid w:val="00FA12AF"/>
    <w:rsid w:val="00FA430A"/>
    <w:rsid w:val="00FA6A5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007/s11205-011-9966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97</cp:revision>
  <dcterms:created xsi:type="dcterms:W3CDTF">2023-06-28T01:52:00Z</dcterms:created>
  <dcterms:modified xsi:type="dcterms:W3CDTF">2024-01-12T09:28:00Z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