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116B" w14:textId="0E9C1B2F" w:rsidR="00495004" w:rsidRPr="00FA74B5" w:rsidRDefault="002E7865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2E7865">
        <w:rPr>
          <w:rFonts w:ascii="Times New Roman" w:eastAsia="PMingLiU" w:hAnsi="Times New Roman" w:hint="eastAsia"/>
          <w:sz w:val="24"/>
          <w:szCs w:val="24"/>
          <w:lang w:eastAsia="zh-TW"/>
        </w:rPr>
        <w:t>逃離道德標準機制量表：道德化</w:t>
      </w:r>
      <w:r w:rsidR="00495004" w:rsidRPr="00FA74B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r w:rsidRPr="002E786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Mechanisms of Moral Disengagement Scale: Moral Justification</w:t>
      </w:r>
      <w:r w:rsidR="00495004" w:rsidRPr="00FA74B5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495004" w:rsidRPr="00FA74B5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075"/>
        <w:gridCol w:w="7221"/>
      </w:tblGrid>
      <w:tr w:rsidR="00CF67AE" w:rsidRPr="00FA74B5" w14:paraId="1F115492" w14:textId="77777777" w:rsidTr="00E6487B">
        <w:trPr>
          <w:trHeight w:val="378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BBE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31A4" w14:textId="402707AF" w:rsidR="00CF67AE" w:rsidRPr="00FA74B5" w:rsidRDefault="002E7865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道德決策、人格犬儒主義、道德認同</w:t>
            </w:r>
          </w:p>
        </w:tc>
      </w:tr>
      <w:tr w:rsidR="00CF67AE" w:rsidRPr="00FA74B5" w14:paraId="10614E9C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1F68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FC5B9" w14:textId="345E9AF8" w:rsidR="00CF67AE" w:rsidRPr="00FA74B5" w:rsidRDefault="002E7865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社會認知理論、道德能動性、同理心</w:t>
            </w:r>
          </w:p>
        </w:tc>
      </w:tr>
      <w:tr w:rsidR="00CF67AE" w:rsidRPr="00FA74B5" w14:paraId="11B8ACE7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68A7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8810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罪行</w:t>
            </w:r>
          </w:p>
        </w:tc>
      </w:tr>
      <w:tr w:rsidR="00CF67AE" w:rsidRPr="00FA74B5" w14:paraId="4155303B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C7EC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96CF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青年</w:t>
            </w:r>
          </w:p>
        </w:tc>
      </w:tr>
      <w:tr w:rsidR="00CF67AE" w:rsidRPr="00FA74B5" w14:paraId="4082839E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27A3" w14:textId="77777777" w:rsidR="00CF67AE" w:rsidRPr="00FA74B5" w:rsidRDefault="00CF67AE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5A11C" w14:textId="41822921" w:rsidR="00CF67AE" w:rsidRPr="00FA74B5" w:rsidRDefault="002E7865" w:rsidP="00CF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4</w:t>
            </w:r>
            <w:r w:rsidR="00CF67AE"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</w:t>
            </w:r>
            <w:r w:rsidR="00CF67AE"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2E7865" w:rsidRPr="00FA74B5" w14:paraId="37C6B20F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1312" w14:textId="77777777" w:rsidR="002E7865" w:rsidRPr="00FA74B5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1B" w14:textId="3970BA58" w:rsidR="002E7865" w:rsidRPr="00FA74B5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2E7865" w:rsidRPr="00FA74B5" w14:paraId="7C9DCE6A" w14:textId="77777777" w:rsidTr="00E6487B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C94" w14:textId="77777777" w:rsidR="002E7865" w:rsidRPr="00FA74B5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02E1" w14:textId="77777777" w:rsidR="002E7865" w:rsidRDefault="002E7865" w:rsidP="002E78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 xml:space="preserve">Detert, J. R., </w:t>
            </w:r>
            <w:proofErr w:type="spellStart"/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Trevi</w:t>
            </w:r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ñ</w:t>
            </w:r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o</w:t>
            </w:r>
            <w:proofErr w:type="spellEnd"/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 xml:space="preserve">, L. K., &amp; </w:t>
            </w:r>
            <w:proofErr w:type="spellStart"/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>Sweitzer</w:t>
            </w:r>
            <w:proofErr w:type="spellEnd"/>
            <w:r w:rsidRPr="00140A58">
              <w:rPr>
                <w:rFonts w:ascii="Times New Roman" w:eastAsia="宋体" w:hAnsi="Times" w:cs="Times New Roman"/>
                <w:sz w:val="24"/>
                <w:szCs w:val="24"/>
                <w:lang w:val="de-CH"/>
              </w:rPr>
              <w:t xml:space="preserve">, V. L. (2008). 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Moral disengagement in ethical decision making: A study of antecedents and outcomes. </w:t>
            </w:r>
            <w:r w:rsidRPr="00140A58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Journal of Applied Psychology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, 93(2), 374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>–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391. </w:t>
            </w:r>
            <w:hyperlink r:id="rId6" w:history="1"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https://</w:t>
              </w:r>
              <w:proofErr w:type="spellStart"/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doi.org</w:t>
              </w:r>
              <w:proofErr w:type="spellEnd"/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/10.1037/0021-9010.93.2.374</w:t>
              </w:r>
            </w:hyperlink>
          </w:p>
          <w:p w14:paraId="791A2F84" w14:textId="7186E407" w:rsidR="002E7865" w:rsidRPr="00C77E3F" w:rsidRDefault="002E7865" w:rsidP="00C77E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宋体" w:hAnsi="Times" w:cs="Times New Roman"/>
                <w:sz w:val="24"/>
                <w:szCs w:val="24"/>
              </w:rPr>
            </w:pP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Fung, A. L. C. (2022). Psychosocial Correlates of Reactive and Proactive Aggression among Protesters during the Social Movement in Hong Kong. </w:t>
            </w:r>
            <w:r w:rsidRPr="00140A58">
              <w:rPr>
                <w:rFonts w:ascii="Times New Roman" w:eastAsia="宋体" w:hAnsi="Times" w:cs="Times New Roman"/>
                <w:i/>
                <w:iCs/>
                <w:sz w:val="24"/>
                <w:szCs w:val="24"/>
              </w:rPr>
              <w:t>International Journal of Environmental Research and Public Health</w:t>
            </w:r>
            <w:r w:rsidRPr="00F83960">
              <w:rPr>
                <w:rFonts w:ascii="Times New Roman" w:eastAsia="宋体" w:hAnsi="Times" w:cs="Times New Roman"/>
                <w:sz w:val="24"/>
                <w:szCs w:val="24"/>
              </w:rPr>
              <w:t xml:space="preserve">, 19(8), 4679. </w:t>
            </w:r>
            <w:hyperlink r:id="rId7" w:history="1"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https://</w:t>
              </w:r>
              <w:proofErr w:type="spellStart"/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doi.org</w:t>
              </w:r>
              <w:proofErr w:type="spellEnd"/>
              <w:r w:rsidRPr="00083793">
                <w:rPr>
                  <w:rStyle w:val="a8"/>
                  <w:rFonts w:ascii="Times New Roman" w:eastAsia="宋体" w:hAnsi="Times" w:cs="Times New Roman"/>
                  <w:sz w:val="24"/>
                  <w:szCs w:val="24"/>
                </w:rPr>
                <w:t>/10.3390/ijerph19084679</w:t>
              </w:r>
            </w:hyperlink>
          </w:p>
        </w:tc>
      </w:tr>
    </w:tbl>
    <w:p w14:paraId="4D04B543" w14:textId="77777777" w:rsidR="00495004" w:rsidRPr="00FA74B5" w:rsidRDefault="00495004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48AAB5D0" w14:textId="5EE6DA13" w:rsidR="00495004" w:rsidRDefault="002E7865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2E7865">
        <w:rPr>
          <w:rFonts w:ascii="Times New Roman" w:eastAsia="PMingLiU" w:hAnsi="Times New Roman" w:hint="eastAsia"/>
          <w:sz w:val="24"/>
          <w:szCs w:val="24"/>
          <w:lang w:eastAsia="zh-TW"/>
        </w:rPr>
        <w:t>逃離道德標準機制量表：道德化</w:t>
      </w:r>
      <w:r w:rsidR="00495004" w:rsidRPr="00FA74B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的</w:t>
      </w:r>
      <w:r w:rsidR="00495004" w:rsidRPr="00FA74B5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W w:w="8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752"/>
        <w:gridCol w:w="1865"/>
        <w:gridCol w:w="1788"/>
      </w:tblGrid>
      <w:tr w:rsidR="002E7865" w:rsidRPr="00B07896" w14:paraId="2907D230" w14:textId="77777777" w:rsidTr="00140A58">
        <w:trPr>
          <w:trHeight w:val="299"/>
        </w:trPr>
        <w:tc>
          <w:tcPr>
            <w:tcW w:w="2832" w:type="dxa"/>
          </w:tcPr>
          <w:p w14:paraId="2D678067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1752" w:type="dxa"/>
            <w:shd w:val="clear" w:color="auto" w:fill="auto"/>
          </w:tcPr>
          <w:p w14:paraId="76B5C668" w14:textId="77777777" w:rsidR="002E7865" w:rsidRPr="00140A58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不同意</w:t>
            </w:r>
          </w:p>
        </w:tc>
        <w:tc>
          <w:tcPr>
            <w:tcW w:w="1865" w:type="dxa"/>
            <w:shd w:val="clear" w:color="auto" w:fill="auto"/>
          </w:tcPr>
          <w:p w14:paraId="36897F90" w14:textId="5C996B7A" w:rsidR="002E7865" w:rsidRPr="00B07896" w:rsidRDefault="00D9640E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D9640E">
              <w:rPr>
                <w:rFonts w:ascii="Times New Roman" w:hAnsi="Times New Roman" w:cs="Times New Roman"/>
                <w:kern w:val="2"/>
                <w:sz w:val="24"/>
                <w:szCs w:val="24"/>
                <w:lang w:eastAsia="zh-TW"/>
              </w:rPr>
              <w:t>不肯定</w:t>
            </w:r>
          </w:p>
        </w:tc>
        <w:tc>
          <w:tcPr>
            <w:tcW w:w="1788" w:type="dxa"/>
            <w:shd w:val="clear" w:color="auto" w:fill="auto"/>
          </w:tcPr>
          <w:p w14:paraId="53EF93D9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E7865">
              <w:rPr>
                <w:rFonts w:ascii="Times New Roman" w:hAnsi="Times New Roman" w:cs="Times New Roman" w:hint="eastAsia"/>
                <w:kern w:val="2"/>
                <w:sz w:val="24"/>
                <w:szCs w:val="24"/>
                <w:lang w:eastAsia="zh-TW"/>
              </w:rPr>
              <w:t>同意</w:t>
            </w:r>
          </w:p>
        </w:tc>
      </w:tr>
      <w:tr w:rsidR="002E7865" w:rsidRPr="00B07896" w14:paraId="5055EA9D" w14:textId="77777777" w:rsidTr="00140A58">
        <w:trPr>
          <w:trHeight w:val="299"/>
        </w:trPr>
        <w:tc>
          <w:tcPr>
            <w:tcW w:w="2832" w:type="dxa"/>
          </w:tcPr>
          <w:p w14:paraId="2C17338F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A74B5"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1</w:t>
            </w: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 xml:space="preserve"> – </w:t>
            </w:r>
            <w:r>
              <w:rPr>
                <w:rFonts w:ascii="Times New Roman" w:eastAsia="PMingLiU" w:hAnsi="Times New Roman"/>
                <w:color w:val="000000"/>
                <w:sz w:val="24"/>
                <w:szCs w:val="24"/>
              </w:rPr>
              <w:t>4</w:t>
            </w: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1752" w:type="dxa"/>
            <w:shd w:val="clear" w:color="auto" w:fill="auto"/>
          </w:tcPr>
          <w:p w14:paraId="1121D0AA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1865" w:type="dxa"/>
            <w:shd w:val="clear" w:color="auto" w:fill="auto"/>
          </w:tcPr>
          <w:p w14:paraId="594EC9D2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50</w:t>
            </w:r>
          </w:p>
        </w:tc>
        <w:tc>
          <w:tcPr>
            <w:tcW w:w="1788" w:type="dxa"/>
            <w:shd w:val="clear" w:color="auto" w:fill="auto"/>
          </w:tcPr>
          <w:p w14:paraId="3EA162BE" w14:textId="77777777" w:rsidR="002E7865" w:rsidRPr="00B07896" w:rsidRDefault="002E7865" w:rsidP="00140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B07896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100</w:t>
            </w:r>
          </w:p>
        </w:tc>
      </w:tr>
    </w:tbl>
    <w:p w14:paraId="7BEE57DD" w14:textId="01ADC195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4865"/>
      </w:tblGrid>
      <w:tr w:rsidR="00CF67AE" w:rsidRPr="00FA74B5" w14:paraId="5D837F18" w14:textId="77777777" w:rsidTr="00BE1164">
        <w:tc>
          <w:tcPr>
            <w:tcW w:w="3431" w:type="dxa"/>
            <w:shd w:val="clear" w:color="auto" w:fill="auto"/>
          </w:tcPr>
          <w:p w14:paraId="44270515" w14:textId="06113962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量表得分：</w:t>
            </w:r>
            <w:r w:rsidRPr="00FA74B5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4865" w:type="dxa"/>
            <w:shd w:val="clear" w:color="auto" w:fill="auto"/>
          </w:tcPr>
          <w:p w14:paraId="27FAD9D5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CF67AE" w:rsidRPr="00FA74B5" w14:paraId="0C79954C" w14:textId="77777777" w:rsidTr="00BE1164">
        <w:tc>
          <w:tcPr>
            <w:tcW w:w="3431" w:type="dxa"/>
            <w:shd w:val="clear" w:color="auto" w:fill="auto"/>
          </w:tcPr>
          <w:p w14:paraId="18AF96D6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4865" w:type="dxa"/>
            <w:shd w:val="clear" w:color="auto" w:fill="auto"/>
          </w:tcPr>
          <w:p w14:paraId="233A3E6D" w14:textId="3F9D6753" w:rsidR="00CF67AE" w:rsidRPr="00FA74B5" w:rsidRDefault="00194882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9488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需要積極干預</w:t>
            </w:r>
          </w:p>
        </w:tc>
      </w:tr>
      <w:tr w:rsidR="00CF67AE" w:rsidRPr="00FA74B5" w14:paraId="6EBADFCC" w14:textId="77777777" w:rsidTr="00BE1164">
        <w:tc>
          <w:tcPr>
            <w:tcW w:w="3431" w:type="dxa"/>
            <w:shd w:val="clear" w:color="auto" w:fill="auto"/>
          </w:tcPr>
          <w:p w14:paraId="2F6132D7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4865" w:type="dxa"/>
            <w:shd w:val="clear" w:color="auto" w:fill="auto"/>
          </w:tcPr>
          <w:p w14:paraId="3EE83EB8" w14:textId="208D5C40" w:rsidR="00CF67AE" w:rsidRPr="00FA74B5" w:rsidRDefault="00194882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194882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val="en-HK" w:eastAsia="zh-TW"/>
              </w:rPr>
              <w:t>需要稍作干預</w:t>
            </w:r>
          </w:p>
        </w:tc>
      </w:tr>
      <w:tr w:rsidR="00CF67AE" w:rsidRPr="00FA74B5" w14:paraId="08907DAB" w14:textId="77777777" w:rsidTr="00BE1164">
        <w:tc>
          <w:tcPr>
            <w:tcW w:w="3431" w:type="dxa"/>
            <w:shd w:val="clear" w:color="auto" w:fill="auto"/>
          </w:tcPr>
          <w:p w14:paraId="122895D7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4865" w:type="dxa"/>
            <w:shd w:val="clear" w:color="auto" w:fill="auto"/>
          </w:tcPr>
          <w:p w14:paraId="3A090EFB" w14:textId="77777777" w:rsidR="00CF67AE" w:rsidRPr="00FA74B5" w:rsidRDefault="00CF67AE" w:rsidP="00BE11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FA74B5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</w:tbl>
    <w:p w14:paraId="01E83432" w14:textId="77777777" w:rsidR="00CF67AE" w:rsidRPr="00FA74B5" w:rsidRDefault="00CF67AE" w:rsidP="00495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2B76BFC7" w14:textId="55D9B8FD" w:rsidR="002E7865" w:rsidRPr="002E7865" w:rsidRDefault="002E7865" w:rsidP="002E7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sectPr w:rsidR="002E7865" w:rsidRPr="002E7865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24975" w14:textId="77777777" w:rsidR="0083243B" w:rsidRDefault="0083243B" w:rsidP="00495004">
      <w:r>
        <w:separator/>
      </w:r>
    </w:p>
  </w:endnote>
  <w:endnote w:type="continuationSeparator" w:id="0">
    <w:p w14:paraId="05B4585B" w14:textId="77777777" w:rsidR="0083243B" w:rsidRDefault="0083243B" w:rsidP="00495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altName w:val="Times New Roman"/>
    <w:panose1 w:val="02000500000000000000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61B7" w14:textId="77777777" w:rsidR="0083243B" w:rsidRDefault="0083243B" w:rsidP="00495004">
      <w:r>
        <w:separator/>
      </w:r>
    </w:p>
  </w:footnote>
  <w:footnote w:type="continuationSeparator" w:id="0">
    <w:p w14:paraId="4B2BD171" w14:textId="77777777" w:rsidR="0083243B" w:rsidRDefault="0083243B" w:rsidP="00495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C7E"/>
    <w:rsid w:val="00040C7E"/>
    <w:rsid w:val="001312BF"/>
    <w:rsid w:val="00157539"/>
    <w:rsid w:val="00194882"/>
    <w:rsid w:val="002E7865"/>
    <w:rsid w:val="003D4FB3"/>
    <w:rsid w:val="004275AE"/>
    <w:rsid w:val="00460824"/>
    <w:rsid w:val="00495004"/>
    <w:rsid w:val="0083243B"/>
    <w:rsid w:val="00924431"/>
    <w:rsid w:val="00975681"/>
    <w:rsid w:val="00AB44CA"/>
    <w:rsid w:val="00BD4D76"/>
    <w:rsid w:val="00C77E3F"/>
    <w:rsid w:val="00CF67AE"/>
    <w:rsid w:val="00D011F0"/>
    <w:rsid w:val="00D9640E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4E404"/>
  <w15:chartTrackingRefBased/>
  <w15:docId w15:val="{E5DCE170-38E7-4369-A899-07118116D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004"/>
    <w:pPr>
      <w:jc w:val="both"/>
    </w:pPr>
    <w:rPr>
      <w:rFonts w:ascii="PMingLiU" w:eastAsia="MingLiU" w:hAnsi="PMingLiU" w:cs="宋体"/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4">
    <w:name w:val="页眉 字符"/>
    <w:basedOn w:val="a0"/>
    <w:link w:val="a3"/>
    <w:uiPriority w:val="99"/>
    <w:rsid w:val="004950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04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20"/>
      <w:szCs w:val="20"/>
      <w:lang w:eastAsia="zh-TW"/>
    </w:rPr>
  </w:style>
  <w:style w:type="character" w:customStyle="1" w:styleId="a6">
    <w:name w:val="页脚 字符"/>
    <w:basedOn w:val="a0"/>
    <w:link w:val="a5"/>
    <w:uiPriority w:val="99"/>
    <w:rsid w:val="00495004"/>
    <w:rPr>
      <w:sz w:val="20"/>
      <w:szCs w:val="20"/>
    </w:rPr>
  </w:style>
  <w:style w:type="table" w:customStyle="1" w:styleId="1">
    <w:name w:val="网格型1"/>
    <w:basedOn w:val="a1"/>
    <w:uiPriority w:val="39"/>
    <w:rsid w:val="00495004"/>
    <w:rPr>
      <w:rFonts w:ascii="PMingLiU" w:eastAsia="Microsoft YaHei UI" w:hAnsi="PMingLiU" w:cs="宋体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Revision"/>
    <w:hidden/>
    <w:uiPriority w:val="99"/>
    <w:semiHidden/>
    <w:rsid w:val="002E7865"/>
    <w:rPr>
      <w:rFonts w:ascii="PMingLiU" w:eastAsia="MingLiU" w:hAnsi="PMingLiU" w:cs="宋体"/>
      <w:kern w:val="0"/>
      <w:sz w:val="22"/>
      <w:lang w:eastAsia="zh-CN"/>
    </w:rPr>
  </w:style>
  <w:style w:type="character" w:styleId="a8">
    <w:name w:val="Hyperlink"/>
    <w:basedOn w:val="a0"/>
    <w:uiPriority w:val="99"/>
    <w:unhideWhenUsed/>
    <w:rsid w:val="002E78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3390/ijerph190846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37/0021-9010.93.2.37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10</cp:revision>
  <dcterms:created xsi:type="dcterms:W3CDTF">2020-11-24T12:01:00Z</dcterms:created>
  <dcterms:modified xsi:type="dcterms:W3CDTF">2023-09-20T03:17:00Z</dcterms:modified>
</cp:coreProperties>
</file>